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9B4C9E" w:rsidP="002E2B2C">
      <w:pPr>
        <w:tabs>
          <w:tab w:val="left" w:pos="709"/>
          <w:tab w:val="left" w:pos="993"/>
        </w:tabs>
        <w:autoSpaceDE w:val="0"/>
        <w:autoSpaceDN w:val="0"/>
        <w:adjustRightInd w:val="0"/>
        <w:jc w:val="center"/>
        <w:rPr>
          <w:sz w:val="28"/>
          <w:szCs w:val="28"/>
        </w:rPr>
      </w:pPr>
      <w:r>
        <w:rPr>
          <w:sz w:val="28"/>
          <w:szCs w:val="28"/>
        </w:rPr>
        <w:t>28.12.2024</w:t>
      </w:r>
      <w:r w:rsidR="002E2B2C" w:rsidRPr="007072CF">
        <w:rPr>
          <w:sz w:val="28"/>
          <w:szCs w:val="28"/>
        </w:rPr>
        <w:t xml:space="preserve">                         № </w:t>
      </w:r>
      <w:r>
        <w:rPr>
          <w:sz w:val="28"/>
          <w:szCs w:val="28"/>
        </w:rPr>
        <w:t>160</w:t>
      </w:r>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3B0760" w:rsidRDefault="003B0760"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3B0760">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9B4C9E" w:rsidRPr="009B4C9E" w:rsidRDefault="009B4C9E" w:rsidP="009B4C9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9B4C9E">
        <w:rPr>
          <w:rFonts w:eastAsiaTheme="minorEastAsia"/>
          <w:sz w:val="28"/>
          <w:szCs w:val="28"/>
          <w:lang w:eastAsia="en-US"/>
        </w:rPr>
        <w:t xml:space="preserve">В соответствии с </w:t>
      </w:r>
      <w:r w:rsidRPr="009B4C9E">
        <w:rPr>
          <w:rFonts w:ascii="Times New Roman CYR" w:hAnsi="Times New Roman CYR" w:cs="Times New Roman CYR"/>
          <w:sz w:val="28"/>
          <w:szCs w:val="28"/>
        </w:rPr>
        <w:t xml:space="preserve">Решениями Собрания депутатов </w:t>
      </w:r>
      <w:r w:rsidRPr="009B4C9E">
        <w:rPr>
          <w:rFonts w:eastAsiaTheme="minorEastAsia"/>
          <w:sz w:val="28"/>
          <w:szCs w:val="28"/>
          <w:lang w:eastAsia="en-US"/>
        </w:rPr>
        <w:t>Елизаветовского сельского поселения</w:t>
      </w:r>
      <w:r w:rsidRPr="009B4C9E">
        <w:rPr>
          <w:rFonts w:ascii="Times New Roman CYR" w:hAnsi="Times New Roman CYR" w:cs="Times New Roman CYR"/>
          <w:sz w:val="28"/>
          <w:szCs w:val="28"/>
        </w:rPr>
        <w:t xml:space="preserve"> Азовского района</w:t>
      </w:r>
      <w:r w:rsidRPr="009B4C9E">
        <w:rPr>
          <w:rFonts w:eastAsiaTheme="minorEastAsia"/>
          <w:sz w:val="28"/>
          <w:szCs w:val="28"/>
          <w:lang w:eastAsia="en-US"/>
        </w:rPr>
        <w:t xml:space="preserve"> </w:t>
      </w:r>
      <w:r w:rsidRPr="009B4C9E">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w:t>
      </w:r>
      <w:r>
        <w:rPr>
          <w:rFonts w:ascii="Times New Roman CYR" w:hAnsi="Times New Roman CYR" w:cs="Times New Roman CYR"/>
          <w:sz w:val="28"/>
          <w:szCs w:val="28"/>
        </w:rPr>
        <w:t xml:space="preserve"> </w:t>
      </w:r>
      <w:r w:rsidRPr="009B4C9E">
        <w:rPr>
          <w:rFonts w:ascii="Times New Roman CYR" w:hAnsi="Times New Roman CYR" w:cs="Times New Roman CYR"/>
          <w:sz w:val="28"/>
          <w:szCs w:val="28"/>
        </w:rPr>
        <w:t>«О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9B4C9E">
        <w:rPr>
          <w:rFonts w:ascii="Times New Roman CYR" w:hAnsi="Times New Roman CYR" w:cs="Times New Roman CYR"/>
          <w:sz w:val="28"/>
          <w:szCs w:val="28"/>
        </w:rPr>
        <w:t xml:space="preserve"> плановый  период 2026 и  2027 годов», </w:t>
      </w:r>
      <w:r w:rsidRPr="009B4C9E">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9B4C9E">
        <w:rPr>
          <w:rFonts w:eastAsiaTheme="minorEastAsia"/>
          <w:bCs/>
          <w:sz w:val="28"/>
          <w:szCs w:val="28"/>
        </w:rPr>
        <w:softHyphen/>
        <w:t>ния»</w:t>
      </w:r>
      <w:r w:rsidRPr="009B4C9E">
        <w:rPr>
          <w:rFonts w:eastAsiaTheme="minorEastAsia"/>
          <w:sz w:val="28"/>
          <w:szCs w:val="28"/>
        </w:rPr>
        <w:t>,  А</w:t>
      </w:r>
      <w:r w:rsidRPr="009B4C9E">
        <w:rPr>
          <w:rFonts w:eastAsiaTheme="minorEastAsia"/>
          <w:sz w:val="28"/>
          <w:szCs w:val="28"/>
          <w:lang w:eastAsia="en-US"/>
        </w:rPr>
        <w:t xml:space="preserve">дминистрация  Елизаветовского сельского поселения, </w:t>
      </w:r>
      <w:proofErr w:type="gramStart"/>
      <w:r w:rsidRPr="009B4C9E">
        <w:rPr>
          <w:rFonts w:eastAsiaTheme="minorEastAsia"/>
          <w:b/>
          <w:sz w:val="28"/>
          <w:szCs w:val="28"/>
          <w:lang w:eastAsia="en-US"/>
        </w:rPr>
        <w:t>п</w:t>
      </w:r>
      <w:proofErr w:type="gramEnd"/>
      <w:r w:rsidRPr="009B4C9E">
        <w:rPr>
          <w:rFonts w:eastAsiaTheme="minorEastAsia"/>
          <w:b/>
          <w:sz w:val="28"/>
          <w:szCs w:val="28"/>
          <w:lang w:eastAsia="en-US"/>
        </w:rPr>
        <w:t xml:space="preserve"> о с т а н о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F11A20">
              <w:rPr>
                <w:rFonts w:eastAsia="Calibri"/>
                <w:sz w:val="28"/>
                <w:szCs w:val="28"/>
                <w:lang w:eastAsia="en-US"/>
              </w:rPr>
              <w:t>16,8</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8A4D1B">
              <w:rPr>
                <w:rFonts w:eastAsia="Calibri"/>
                <w:sz w:val="28"/>
                <w:szCs w:val="28"/>
                <w:lang w:eastAsia="en-US"/>
              </w:rPr>
              <w:t>1,3</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8A4D1B">
              <w:rPr>
                <w:rFonts w:eastAsia="Calibri"/>
                <w:sz w:val="28"/>
                <w:szCs w:val="28"/>
                <w:lang w:eastAsia="en-US"/>
              </w:rPr>
              <w:t>2,5</w:t>
            </w:r>
            <w:r w:rsidR="00E67B7D">
              <w:rPr>
                <w:rFonts w:eastAsia="Calibri"/>
                <w:sz w:val="28"/>
                <w:szCs w:val="28"/>
                <w:lang w:eastAsia="en-US"/>
              </w:rPr>
              <w:t xml:space="preserve"> </w:t>
            </w:r>
            <w:r w:rsidR="007C3B1B" w:rsidRPr="007C3B1B">
              <w:rPr>
                <w:rFonts w:eastAsia="Calibri"/>
                <w:sz w:val="28"/>
                <w:szCs w:val="28"/>
                <w:lang w:eastAsia="en-US"/>
              </w:rPr>
              <w:t>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2025 год –  </w:t>
            </w:r>
            <w:r w:rsidR="00713910">
              <w:rPr>
                <w:rFonts w:eastAsia="Calibri"/>
                <w:sz w:val="28"/>
                <w:szCs w:val="28"/>
                <w:lang w:eastAsia="en-US"/>
              </w:rPr>
              <w:t>2,5</w:t>
            </w:r>
            <w:r w:rsidRPr="007C3B1B">
              <w:rPr>
                <w:rFonts w:eastAsia="Calibri"/>
                <w:sz w:val="28"/>
                <w:szCs w:val="28"/>
                <w:lang w:eastAsia="en-US"/>
              </w:rPr>
              <w:t xml:space="preserve"> тыс. рублей; </w:t>
            </w:r>
          </w:p>
          <w:p w:rsidR="007C3B1B" w:rsidRPr="007C3B1B" w:rsidRDefault="0057421B" w:rsidP="007C3B1B">
            <w:pPr>
              <w:rPr>
                <w:rFonts w:eastAsia="Calibri"/>
                <w:sz w:val="28"/>
                <w:szCs w:val="28"/>
                <w:lang w:eastAsia="en-US"/>
              </w:rPr>
            </w:pPr>
            <w:r>
              <w:rPr>
                <w:rFonts w:eastAsia="Calibri"/>
                <w:sz w:val="28"/>
                <w:szCs w:val="28"/>
                <w:lang w:eastAsia="en-US"/>
              </w:rPr>
              <w:lastRenderedPageBreak/>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w:t>
            </w:r>
            <w:r w:rsidR="00713910">
              <w:rPr>
                <w:rFonts w:eastAsia="Calibri"/>
                <w:sz w:val="28"/>
                <w:szCs w:val="28"/>
                <w:lang w:eastAsia="en-US"/>
              </w:rPr>
              <w:t xml:space="preserve"> </w:t>
            </w:r>
            <w:r>
              <w:rPr>
                <w:rFonts w:eastAsia="Calibri"/>
                <w:sz w:val="28"/>
                <w:szCs w:val="28"/>
                <w:lang w:eastAsia="en-US"/>
              </w:rPr>
              <w:t>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0" w:name="Par450"/>
      <w:bookmarkEnd w:id="0"/>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F11A20"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9E6818" w:rsidP="0057421B">
            <w:pPr>
              <w:suppressAutoHyphens/>
              <w:rPr>
                <w:sz w:val="28"/>
                <w:szCs w:val="28"/>
                <w:lang w:eastAsia="ar-SA"/>
              </w:rPr>
            </w:pPr>
            <w:r>
              <w:rPr>
                <w:sz w:val="28"/>
                <w:szCs w:val="28"/>
                <w:lang w:eastAsia="ar-SA"/>
              </w:rPr>
              <w:t>1,3</w:t>
            </w:r>
          </w:p>
        </w:tc>
        <w:tc>
          <w:tcPr>
            <w:tcW w:w="700" w:type="dxa"/>
            <w:hideMark/>
          </w:tcPr>
          <w:p w:rsidR="0057421B" w:rsidRPr="0057421B" w:rsidRDefault="009E6818" w:rsidP="0057421B">
            <w:pPr>
              <w:suppressAutoHyphens/>
              <w:rPr>
                <w:sz w:val="28"/>
                <w:szCs w:val="28"/>
                <w:lang w:eastAsia="ar-SA"/>
              </w:rPr>
            </w:pPr>
            <w:r>
              <w:rPr>
                <w:sz w:val="28"/>
                <w:szCs w:val="28"/>
                <w:lang w:eastAsia="ar-SA"/>
              </w:rPr>
              <w:t>2,5</w:t>
            </w:r>
          </w:p>
        </w:tc>
        <w:tc>
          <w:tcPr>
            <w:tcW w:w="561" w:type="dxa"/>
            <w:hideMark/>
          </w:tcPr>
          <w:p w:rsidR="0057421B" w:rsidRPr="0057421B" w:rsidRDefault="00F11A20" w:rsidP="0057421B">
            <w:pPr>
              <w:suppressAutoHyphens/>
              <w:rPr>
                <w:sz w:val="28"/>
                <w:szCs w:val="28"/>
                <w:lang w:eastAsia="ar-SA"/>
              </w:rPr>
            </w:pPr>
            <w:r>
              <w:rPr>
                <w:sz w:val="28"/>
                <w:szCs w:val="28"/>
                <w:lang w:eastAsia="ar-SA"/>
              </w:rPr>
              <w:t>2,5</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vMerge/>
            <w:hideMark/>
          </w:tcPr>
          <w:p w:rsidR="00F11A20" w:rsidRPr="0057421B" w:rsidRDefault="00F11A20" w:rsidP="0057421B">
            <w:pPr>
              <w:suppressAutoHyphens/>
              <w:autoSpaceDE w:val="0"/>
              <w:autoSpaceDN w:val="0"/>
              <w:adjustRightInd w:val="0"/>
              <w:rPr>
                <w:kern w:val="2"/>
                <w:sz w:val="28"/>
                <w:szCs w:val="28"/>
                <w:lang w:eastAsia="ar-SA"/>
              </w:rPr>
            </w:pP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F11A20" w:rsidRPr="0057421B" w:rsidRDefault="00F11A20"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F11A20" w:rsidRPr="0057421B" w:rsidRDefault="00F11A20" w:rsidP="0057421B">
            <w:pPr>
              <w:suppressAutoHyphens/>
              <w:rPr>
                <w:lang w:eastAsia="ar-SA"/>
              </w:rPr>
            </w:pPr>
            <w:r w:rsidRPr="0057421B">
              <w:rPr>
                <w:lang w:eastAsia="ar-SA"/>
              </w:rPr>
              <w:lastRenderedPageBreak/>
              <w:t>951</w:t>
            </w:r>
          </w:p>
        </w:tc>
        <w:tc>
          <w:tcPr>
            <w:tcW w:w="562"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428"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F11A20" w:rsidRPr="0057421B" w:rsidRDefault="00F11A20"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F11A20" w:rsidRPr="0057421B" w:rsidRDefault="00F11A20" w:rsidP="0057421B">
            <w:pPr>
              <w:suppressAutoHyphens/>
              <w:rPr>
                <w:lang w:eastAsia="ar-SA"/>
              </w:rPr>
            </w:pPr>
            <w:r w:rsidRPr="0057421B">
              <w:rPr>
                <w:lang w:eastAsia="ar-SA"/>
              </w:rPr>
              <w:t>951</w:t>
            </w:r>
          </w:p>
        </w:tc>
        <w:tc>
          <w:tcPr>
            <w:tcW w:w="562"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F11A20" w:rsidRPr="0057421B" w:rsidRDefault="00F11A20"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698"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561"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701" w:type="dxa"/>
            <w:hideMark/>
          </w:tcPr>
          <w:p w:rsidR="00F11A20" w:rsidRPr="0057421B" w:rsidRDefault="00F11A20" w:rsidP="0056026D">
            <w:pPr>
              <w:suppressAutoHyphens/>
              <w:rPr>
                <w:sz w:val="28"/>
                <w:szCs w:val="28"/>
                <w:lang w:eastAsia="ar-SA"/>
              </w:rPr>
            </w:pPr>
            <w:r>
              <w:rPr>
                <w:sz w:val="28"/>
                <w:szCs w:val="28"/>
                <w:lang w:eastAsia="ar-SA"/>
              </w:rPr>
              <w:t>1,3</w:t>
            </w:r>
          </w:p>
        </w:tc>
        <w:tc>
          <w:tcPr>
            <w:tcW w:w="700" w:type="dxa"/>
            <w:hideMark/>
          </w:tcPr>
          <w:p w:rsidR="00F11A20" w:rsidRPr="0057421B" w:rsidRDefault="00F11A20" w:rsidP="0056026D">
            <w:pPr>
              <w:suppressAutoHyphens/>
              <w:rPr>
                <w:sz w:val="28"/>
                <w:szCs w:val="28"/>
                <w:lang w:eastAsia="ar-SA"/>
              </w:rPr>
            </w:pPr>
            <w:r>
              <w:rPr>
                <w:sz w:val="28"/>
                <w:szCs w:val="28"/>
                <w:lang w:eastAsia="ar-SA"/>
              </w:rPr>
              <w:t>2,5</w:t>
            </w:r>
          </w:p>
        </w:tc>
        <w:tc>
          <w:tcPr>
            <w:tcW w:w="561" w:type="dxa"/>
            <w:hideMark/>
          </w:tcPr>
          <w:p w:rsidR="00F11A20" w:rsidRPr="0057421B" w:rsidRDefault="00F11A20" w:rsidP="0056026D">
            <w:pPr>
              <w:suppressAutoHyphens/>
              <w:rPr>
                <w:sz w:val="28"/>
                <w:szCs w:val="28"/>
                <w:lang w:eastAsia="ar-SA"/>
              </w:rPr>
            </w:pPr>
            <w:r>
              <w:rPr>
                <w:sz w:val="28"/>
                <w:szCs w:val="28"/>
                <w:lang w:eastAsia="ar-SA"/>
              </w:rPr>
              <w:t>2,5</w:t>
            </w:r>
          </w:p>
        </w:tc>
        <w:tc>
          <w:tcPr>
            <w:tcW w:w="724"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779"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F11A20" w:rsidRPr="0057421B" w:rsidTr="0057421B">
        <w:tc>
          <w:tcPr>
            <w:tcW w:w="2156" w:type="dxa"/>
            <w:vMerge w:val="restart"/>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bookmarkStart w:id="1" w:name="_GoBack" w:colFirst="2" w:colLast="13"/>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tcPr>
          <w:p w:rsidR="00F11A20" w:rsidRPr="0057421B" w:rsidRDefault="00F11A20" w:rsidP="0056026D">
            <w:pPr>
              <w:suppressAutoHyphens/>
              <w:rPr>
                <w:sz w:val="28"/>
                <w:szCs w:val="28"/>
                <w:lang w:eastAsia="ar-SA"/>
              </w:rPr>
            </w:pPr>
            <w:r>
              <w:rPr>
                <w:sz w:val="28"/>
                <w:szCs w:val="28"/>
                <w:lang w:eastAsia="ar-SA"/>
              </w:rPr>
              <w:t>1,3</w:t>
            </w:r>
          </w:p>
        </w:tc>
        <w:tc>
          <w:tcPr>
            <w:tcW w:w="842" w:type="dxa"/>
          </w:tcPr>
          <w:p w:rsidR="00F11A20" w:rsidRPr="0057421B" w:rsidRDefault="00F11A20" w:rsidP="0056026D">
            <w:pPr>
              <w:suppressAutoHyphens/>
              <w:rPr>
                <w:sz w:val="28"/>
                <w:szCs w:val="28"/>
                <w:lang w:eastAsia="ar-SA"/>
              </w:rPr>
            </w:pPr>
            <w:r>
              <w:rPr>
                <w:sz w:val="28"/>
                <w:szCs w:val="28"/>
                <w:lang w:eastAsia="ar-SA"/>
              </w:rPr>
              <w:t>2,5</w:t>
            </w:r>
          </w:p>
        </w:tc>
        <w:tc>
          <w:tcPr>
            <w:tcW w:w="841" w:type="dxa"/>
          </w:tcPr>
          <w:p w:rsidR="00F11A20" w:rsidRPr="0057421B" w:rsidRDefault="00F11A20" w:rsidP="0056026D">
            <w:pPr>
              <w:suppressAutoHyphens/>
              <w:rPr>
                <w:sz w:val="28"/>
                <w:szCs w:val="28"/>
                <w:lang w:eastAsia="ar-SA"/>
              </w:rPr>
            </w:pPr>
            <w:r>
              <w:rPr>
                <w:sz w:val="28"/>
                <w:szCs w:val="28"/>
                <w:lang w:eastAsia="ar-SA"/>
              </w:rPr>
              <w:t>2,5</w:t>
            </w:r>
          </w:p>
        </w:tc>
        <w:tc>
          <w:tcPr>
            <w:tcW w:w="842"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156" w:type="dxa"/>
            <w:vMerge/>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tcPr>
          <w:p w:rsidR="00F11A20" w:rsidRPr="0057421B" w:rsidRDefault="00F11A20" w:rsidP="0056026D">
            <w:pPr>
              <w:suppressAutoHyphens/>
              <w:rPr>
                <w:sz w:val="28"/>
                <w:szCs w:val="28"/>
                <w:lang w:eastAsia="ar-SA"/>
              </w:rPr>
            </w:pPr>
            <w:r>
              <w:rPr>
                <w:sz w:val="28"/>
                <w:szCs w:val="28"/>
                <w:lang w:eastAsia="ar-SA"/>
              </w:rPr>
              <w:t>1,3</w:t>
            </w:r>
          </w:p>
        </w:tc>
        <w:tc>
          <w:tcPr>
            <w:tcW w:w="842" w:type="dxa"/>
          </w:tcPr>
          <w:p w:rsidR="00F11A20" w:rsidRPr="0057421B" w:rsidRDefault="00F11A20" w:rsidP="0056026D">
            <w:pPr>
              <w:suppressAutoHyphens/>
              <w:rPr>
                <w:sz w:val="28"/>
                <w:szCs w:val="28"/>
                <w:lang w:eastAsia="ar-SA"/>
              </w:rPr>
            </w:pPr>
            <w:r>
              <w:rPr>
                <w:sz w:val="28"/>
                <w:szCs w:val="28"/>
                <w:lang w:eastAsia="ar-SA"/>
              </w:rPr>
              <w:t>2,5</w:t>
            </w:r>
          </w:p>
        </w:tc>
        <w:tc>
          <w:tcPr>
            <w:tcW w:w="841" w:type="dxa"/>
          </w:tcPr>
          <w:p w:rsidR="00F11A20" w:rsidRPr="0057421B" w:rsidRDefault="00F11A20" w:rsidP="0056026D">
            <w:pPr>
              <w:suppressAutoHyphens/>
              <w:rPr>
                <w:sz w:val="28"/>
                <w:szCs w:val="28"/>
                <w:lang w:eastAsia="ar-SA"/>
              </w:rPr>
            </w:pPr>
            <w:r>
              <w:rPr>
                <w:sz w:val="28"/>
                <w:szCs w:val="28"/>
                <w:lang w:eastAsia="ar-SA"/>
              </w:rPr>
              <w:t>2,5</w:t>
            </w:r>
          </w:p>
        </w:tc>
        <w:tc>
          <w:tcPr>
            <w:tcW w:w="842"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c>
          <w:tcPr>
            <w:tcW w:w="2156" w:type="dxa"/>
            <w:vMerge w:val="restart"/>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hideMark/>
          </w:tcPr>
          <w:p w:rsidR="00F11A20" w:rsidRPr="0057421B" w:rsidRDefault="00F11A20" w:rsidP="0056026D">
            <w:pPr>
              <w:suppressAutoHyphens/>
              <w:rPr>
                <w:sz w:val="28"/>
                <w:szCs w:val="28"/>
                <w:lang w:eastAsia="ar-SA"/>
              </w:rPr>
            </w:pPr>
            <w:r>
              <w:rPr>
                <w:sz w:val="28"/>
                <w:szCs w:val="28"/>
                <w:lang w:eastAsia="ar-SA"/>
              </w:rPr>
              <w:t>1,3</w:t>
            </w:r>
          </w:p>
        </w:tc>
        <w:tc>
          <w:tcPr>
            <w:tcW w:w="842" w:type="dxa"/>
            <w:hideMark/>
          </w:tcPr>
          <w:p w:rsidR="00F11A20" w:rsidRPr="0057421B" w:rsidRDefault="00F11A20" w:rsidP="0056026D">
            <w:pPr>
              <w:suppressAutoHyphens/>
              <w:rPr>
                <w:sz w:val="28"/>
                <w:szCs w:val="28"/>
                <w:lang w:eastAsia="ar-SA"/>
              </w:rPr>
            </w:pPr>
            <w:r>
              <w:rPr>
                <w:sz w:val="28"/>
                <w:szCs w:val="28"/>
                <w:lang w:eastAsia="ar-SA"/>
              </w:rPr>
              <w:t>2,5</w:t>
            </w:r>
          </w:p>
        </w:tc>
        <w:tc>
          <w:tcPr>
            <w:tcW w:w="841" w:type="dxa"/>
            <w:hideMark/>
          </w:tcPr>
          <w:p w:rsidR="00F11A20" w:rsidRPr="0057421B" w:rsidRDefault="00F11A20" w:rsidP="0056026D">
            <w:pPr>
              <w:suppressAutoHyphens/>
              <w:rPr>
                <w:sz w:val="28"/>
                <w:szCs w:val="28"/>
                <w:lang w:eastAsia="ar-SA"/>
              </w:rPr>
            </w:pPr>
            <w:r>
              <w:rPr>
                <w:sz w:val="28"/>
                <w:szCs w:val="28"/>
                <w:lang w:eastAsia="ar-SA"/>
              </w:rPr>
              <w:t>2,5</w:t>
            </w:r>
          </w:p>
        </w:tc>
        <w:tc>
          <w:tcPr>
            <w:tcW w:w="842" w:type="dxa"/>
            <w:hideMark/>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tr w:rsidR="00F11A20" w:rsidRPr="0057421B" w:rsidTr="0057421B">
        <w:trPr>
          <w:trHeight w:val="936"/>
        </w:trPr>
        <w:tc>
          <w:tcPr>
            <w:tcW w:w="2156" w:type="dxa"/>
            <w:vMerge/>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F11A20" w:rsidRPr="0057421B" w:rsidRDefault="00F11A20"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F11A20" w:rsidRPr="0057421B" w:rsidRDefault="00F11A20" w:rsidP="0056026D">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16,8</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F11A20" w:rsidRPr="0057421B" w:rsidRDefault="00F11A20" w:rsidP="0056026D">
            <w:pPr>
              <w:suppressAutoHyphens/>
              <w:rPr>
                <w:sz w:val="28"/>
                <w:szCs w:val="28"/>
                <w:lang w:eastAsia="ar-SA"/>
              </w:rPr>
            </w:pPr>
            <w:r>
              <w:rPr>
                <w:color w:val="000000"/>
                <w:spacing w:val="-10"/>
                <w:kern w:val="2"/>
                <w:sz w:val="28"/>
                <w:szCs w:val="28"/>
                <w:lang w:eastAsia="ar-SA"/>
              </w:rPr>
              <w:t>2,5</w:t>
            </w:r>
          </w:p>
        </w:tc>
        <w:tc>
          <w:tcPr>
            <w:tcW w:w="842" w:type="dxa"/>
            <w:hideMark/>
          </w:tcPr>
          <w:p w:rsidR="00F11A20" w:rsidRPr="0057421B" w:rsidRDefault="00F11A20" w:rsidP="0056026D">
            <w:pPr>
              <w:suppressAutoHyphens/>
              <w:rPr>
                <w:sz w:val="28"/>
                <w:szCs w:val="28"/>
                <w:lang w:eastAsia="ar-SA"/>
              </w:rPr>
            </w:pPr>
            <w:r>
              <w:rPr>
                <w:color w:val="000000"/>
                <w:spacing w:val="-10"/>
                <w:kern w:val="2"/>
                <w:sz w:val="28"/>
                <w:szCs w:val="28"/>
                <w:lang w:eastAsia="ar-SA"/>
              </w:rPr>
              <w:t>3,0</w:t>
            </w:r>
          </w:p>
        </w:tc>
        <w:tc>
          <w:tcPr>
            <w:tcW w:w="841" w:type="dxa"/>
            <w:hideMark/>
          </w:tcPr>
          <w:p w:rsidR="00F11A20" w:rsidRPr="0057421B" w:rsidRDefault="00F11A20" w:rsidP="0056026D">
            <w:pPr>
              <w:suppressAutoHyphens/>
              <w:rPr>
                <w:sz w:val="28"/>
                <w:szCs w:val="28"/>
                <w:lang w:eastAsia="ar-SA"/>
              </w:rPr>
            </w:pPr>
            <w:r>
              <w:rPr>
                <w:sz w:val="28"/>
                <w:szCs w:val="28"/>
                <w:lang w:eastAsia="ar-SA"/>
              </w:rPr>
              <w:t>1,3</w:t>
            </w:r>
          </w:p>
        </w:tc>
        <w:tc>
          <w:tcPr>
            <w:tcW w:w="842" w:type="dxa"/>
            <w:hideMark/>
          </w:tcPr>
          <w:p w:rsidR="00F11A20" w:rsidRPr="0057421B" w:rsidRDefault="00F11A20" w:rsidP="0056026D">
            <w:pPr>
              <w:suppressAutoHyphens/>
              <w:rPr>
                <w:sz w:val="28"/>
                <w:szCs w:val="28"/>
                <w:lang w:eastAsia="ar-SA"/>
              </w:rPr>
            </w:pPr>
            <w:r>
              <w:rPr>
                <w:sz w:val="28"/>
                <w:szCs w:val="28"/>
                <w:lang w:eastAsia="ar-SA"/>
              </w:rPr>
              <w:t>2,5</w:t>
            </w:r>
          </w:p>
        </w:tc>
        <w:tc>
          <w:tcPr>
            <w:tcW w:w="841" w:type="dxa"/>
            <w:hideMark/>
          </w:tcPr>
          <w:p w:rsidR="00F11A20" w:rsidRPr="0057421B" w:rsidRDefault="00F11A20" w:rsidP="0056026D">
            <w:pPr>
              <w:suppressAutoHyphens/>
              <w:rPr>
                <w:sz w:val="28"/>
                <w:szCs w:val="28"/>
                <w:lang w:eastAsia="ar-SA"/>
              </w:rPr>
            </w:pPr>
            <w:r>
              <w:rPr>
                <w:sz w:val="28"/>
                <w:szCs w:val="28"/>
                <w:lang w:eastAsia="ar-SA"/>
              </w:rPr>
              <w:t>2,5</w:t>
            </w:r>
          </w:p>
        </w:tc>
        <w:tc>
          <w:tcPr>
            <w:tcW w:w="842" w:type="dxa"/>
            <w:hideMark/>
          </w:tcPr>
          <w:p w:rsidR="00F11A20" w:rsidRPr="0057421B" w:rsidRDefault="00F11A20" w:rsidP="0056026D">
            <w:pPr>
              <w:suppressAutoHyphens/>
              <w:rPr>
                <w:sz w:val="28"/>
                <w:szCs w:val="28"/>
                <w:lang w:eastAsia="ar-SA"/>
              </w:rPr>
            </w:pPr>
            <w:r w:rsidRPr="0057421B">
              <w:rPr>
                <w:sz w:val="28"/>
                <w:szCs w:val="28"/>
                <w:lang w:eastAsia="ar-SA"/>
              </w:rPr>
              <w:t>1,0</w:t>
            </w:r>
          </w:p>
        </w:tc>
        <w:tc>
          <w:tcPr>
            <w:tcW w:w="701" w:type="dxa"/>
          </w:tcPr>
          <w:p w:rsidR="00F11A20" w:rsidRPr="0057421B" w:rsidRDefault="00F11A20" w:rsidP="0056026D">
            <w:pPr>
              <w:suppressAutoHyphens/>
              <w:rPr>
                <w:sz w:val="28"/>
                <w:szCs w:val="28"/>
                <w:lang w:eastAsia="ar-SA"/>
              </w:rPr>
            </w:pPr>
            <w:r w:rsidRPr="0057421B">
              <w:rPr>
                <w:sz w:val="28"/>
                <w:szCs w:val="28"/>
                <w:lang w:eastAsia="ar-SA"/>
              </w:rPr>
              <w:t>1,0</w:t>
            </w:r>
          </w:p>
        </w:tc>
        <w:tc>
          <w:tcPr>
            <w:tcW w:w="842"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c>
          <w:tcPr>
            <w:tcW w:w="841" w:type="dxa"/>
          </w:tcPr>
          <w:p w:rsidR="00F11A20" w:rsidRPr="0057421B" w:rsidRDefault="00F11A20" w:rsidP="0056026D">
            <w:pPr>
              <w:suppressAutoHyphens/>
              <w:rPr>
                <w:sz w:val="28"/>
                <w:szCs w:val="28"/>
                <w:lang w:eastAsia="ar-SA"/>
              </w:rPr>
            </w:pPr>
            <w:r w:rsidRPr="0057421B">
              <w:rPr>
                <w:color w:val="000000"/>
                <w:spacing w:val="-10"/>
                <w:kern w:val="2"/>
                <w:sz w:val="28"/>
                <w:szCs w:val="28"/>
                <w:lang w:eastAsia="ar-SA"/>
              </w:rPr>
              <w:t>1,0</w:t>
            </w:r>
          </w:p>
        </w:tc>
      </w:tr>
      <w:bookmarkEnd w:id="1"/>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9D" w:rsidRDefault="00226E9D">
      <w:r>
        <w:separator/>
      </w:r>
    </w:p>
  </w:endnote>
  <w:endnote w:type="continuationSeparator" w:id="0">
    <w:p w:rsidR="00226E9D" w:rsidRDefault="0022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11A20">
      <w:rPr>
        <w:rStyle w:val="a8"/>
        <w:noProof/>
      </w:rPr>
      <w:t>6</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9D" w:rsidRDefault="00226E9D">
      <w:r>
        <w:separator/>
      </w:r>
    </w:p>
  </w:footnote>
  <w:footnote w:type="continuationSeparator" w:id="0">
    <w:p w:rsidR="00226E9D" w:rsidRDefault="00226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366B5"/>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411"/>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21BDF"/>
    <w:rsid w:val="00223AA9"/>
    <w:rsid w:val="00223C83"/>
    <w:rsid w:val="00225AE4"/>
    <w:rsid w:val="00226839"/>
    <w:rsid w:val="00226E9D"/>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076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66316"/>
    <w:rsid w:val="004724F6"/>
    <w:rsid w:val="0047655B"/>
    <w:rsid w:val="00476D5A"/>
    <w:rsid w:val="0048329A"/>
    <w:rsid w:val="00487B9C"/>
    <w:rsid w:val="004A3C25"/>
    <w:rsid w:val="004B18AD"/>
    <w:rsid w:val="004B53AF"/>
    <w:rsid w:val="004C0A59"/>
    <w:rsid w:val="004C255D"/>
    <w:rsid w:val="004C7CB2"/>
    <w:rsid w:val="004E3105"/>
    <w:rsid w:val="004E377C"/>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421B"/>
    <w:rsid w:val="005814D6"/>
    <w:rsid w:val="00586CD4"/>
    <w:rsid w:val="005870A0"/>
    <w:rsid w:val="00590538"/>
    <w:rsid w:val="00594216"/>
    <w:rsid w:val="005A1C96"/>
    <w:rsid w:val="005A5D31"/>
    <w:rsid w:val="005B026C"/>
    <w:rsid w:val="005B4B9E"/>
    <w:rsid w:val="005B5980"/>
    <w:rsid w:val="005C2468"/>
    <w:rsid w:val="005C297B"/>
    <w:rsid w:val="005D2FA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13910"/>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4D1B"/>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4C9E"/>
    <w:rsid w:val="009B5B3C"/>
    <w:rsid w:val="009C0284"/>
    <w:rsid w:val="009C2A84"/>
    <w:rsid w:val="009C402F"/>
    <w:rsid w:val="009C4C93"/>
    <w:rsid w:val="009C6945"/>
    <w:rsid w:val="009D0FE8"/>
    <w:rsid w:val="009E0C25"/>
    <w:rsid w:val="009E0D39"/>
    <w:rsid w:val="009E6818"/>
    <w:rsid w:val="009E7248"/>
    <w:rsid w:val="009F14D3"/>
    <w:rsid w:val="009F468E"/>
    <w:rsid w:val="009F4A7E"/>
    <w:rsid w:val="009F6BCF"/>
    <w:rsid w:val="00A019F4"/>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E5DA9"/>
    <w:rsid w:val="00BF3E03"/>
    <w:rsid w:val="00BF6999"/>
    <w:rsid w:val="00BF6AA6"/>
    <w:rsid w:val="00BF7081"/>
    <w:rsid w:val="00BF7716"/>
    <w:rsid w:val="00C0481F"/>
    <w:rsid w:val="00C04B44"/>
    <w:rsid w:val="00C04FA0"/>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67B7D"/>
    <w:rsid w:val="00E72730"/>
    <w:rsid w:val="00E72910"/>
    <w:rsid w:val="00E74EE2"/>
    <w:rsid w:val="00E77CDE"/>
    <w:rsid w:val="00E80E81"/>
    <w:rsid w:val="00E81FFC"/>
    <w:rsid w:val="00E92EA9"/>
    <w:rsid w:val="00E95F2F"/>
    <w:rsid w:val="00E96761"/>
    <w:rsid w:val="00E979C4"/>
    <w:rsid w:val="00EA653B"/>
    <w:rsid w:val="00EA6E7A"/>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1A20"/>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9BA"/>
    <w:rsid w:val="00FC5D34"/>
    <w:rsid w:val="00FC60B4"/>
    <w:rsid w:val="00FC7C96"/>
    <w:rsid w:val="00FD285D"/>
    <w:rsid w:val="00FD4F98"/>
    <w:rsid w:val="00FD53CA"/>
    <w:rsid w:val="00FD71F0"/>
    <w:rsid w:val="00FE2ABD"/>
    <w:rsid w:val="00FE5DEA"/>
    <w:rsid w:val="00FF0300"/>
    <w:rsid w:val="00FF067E"/>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4709-1E9C-4FC6-8877-26733FF8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6498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14</cp:revision>
  <cp:lastPrinted>2023-03-17T12:05:00Z</cp:lastPrinted>
  <dcterms:created xsi:type="dcterms:W3CDTF">2023-03-15T13:18:00Z</dcterms:created>
  <dcterms:modified xsi:type="dcterms:W3CDTF">2025-01-15T07:31:00Z</dcterms:modified>
</cp:coreProperties>
</file>